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C32F54" w:rsidRPr="0039190F">
        <w:tblPrEx>
          <w:tblCellMar>
            <w:top w:w="0" w:type="dxa"/>
            <w:bottom w:w="0" w:type="dxa"/>
          </w:tblCellMar>
        </w:tblPrEx>
        <w:trPr>
          <w:tblCellSpacing w:w="60" w:type="dxa"/>
        </w:trPr>
        <w:tc>
          <w:tcPr>
            <w:tcW w:w="1200" w:type="pct"/>
            <w:shd w:val="clear" w:color="auto" w:fill="E7F0F9"/>
          </w:tcPr>
          <w:p w:rsidR="00C32F54" w:rsidRPr="0039190F" w:rsidRDefault="002C3769">
            <w:pPr>
              <w:spacing w:after="0" w:line="240" w:lineRule="auto"/>
              <w:rPr>
                <w:lang w:val="hr-HR"/>
              </w:rPr>
            </w:pPr>
            <w:r w:rsidRPr="0039190F">
              <w:rPr>
                <w:b/>
                <w:lang w:val="hr-HR"/>
              </w:rPr>
              <w:t>RKP broj</w:t>
            </w:r>
          </w:p>
        </w:tc>
        <w:tc>
          <w:tcPr>
            <w:tcW w:w="0" w:type="auto"/>
            <w:shd w:val="clear" w:color="auto" w:fill="E7F0F9"/>
          </w:tcPr>
          <w:p w:rsidR="00C32F54" w:rsidRPr="0039190F" w:rsidRDefault="002C3769">
            <w:pPr>
              <w:spacing w:after="0" w:line="240" w:lineRule="auto"/>
              <w:rPr>
                <w:lang w:val="hr-HR"/>
              </w:rPr>
            </w:pPr>
            <w:r w:rsidRPr="0039190F">
              <w:rPr>
                <w:lang w:val="hr-HR"/>
              </w:rPr>
              <w:t>32658</w:t>
            </w:r>
          </w:p>
        </w:tc>
      </w:tr>
      <w:tr w:rsidR="00C32F54" w:rsidRPr="0039190F">
        <w:tblPrEx>
          <w:tblCellMar>
            <w:top w:w="0" w:type="dxa"/>
            <w:bottom w:w="0" w:type="dxa"/>
          </w:tblCellMar>
        </w:tblPrEx>
        <w:trPr>
          <w:tblCellSpacing w:w="60" w:type="dxa"/>
        </w:trPr>
        <w:tc>
          <w:tcPr>
            <w:tcW w:w="1200" w:type="pct"/>
            <w:shd w:val="clear" w:color="auto" w:fill="E7F0F9"/>
          </w:tcPr>
          <w:p w:rsidR="00C32F54" w:rsidRPr="0039190F" w:rsidRDefault="002C3769">
            <w:pPr>
              <w:spacing w:after="0" w:line="240" w:lineRule="auto"/>
              <w:rPr>
                <w:lang w:val="hr-HR"/>
              </w:rPr>
            </w:pPr>
            <w:r w:rsidRPr="0039190F">
              <w:rPr>
                <w:b/>
                <w:lang w:val="hr-HR"/>
              </w:rPr>
              <w:t>Naziv obveznika</w:t>
            </w:r>
          </w:p>
        </w:tc>
        <w:tc>
          <w:tcPr>
            <w:tcW w:w="0" w:type="auto"/>
            <w:shd w:val="clear" w:color="auto" w:fill="E7F0F9"/>
          </w:tcPr>
          <w:p w:rsidR="00C32F54" w:rsidRPr="0039190F" w:rsidRDefault="002C3769">
            <w:pPr>
              <w:spacing w:after="0" w:line="240" w:lineRule="auto"/>
              <w:rPr>
                <w:lang w:val="hr-HR"/>
              </w:rPr>
            </w:pPr>
            <w:r w:rsidRPr="0039190F">
              <w:rPr>
                <w:lang w:val="hr-HR"/>
              </w:rPr>
              <w:t>DJEČJI VRTIĆ TRATINČICA</w:t>
            </w:r>
          </w:p>
        </w:tc>
      </w:tr>
      <w:tr w:rsidR="00C32F54" w:rsidRPr="0039190F">
        <w:tblPrEx>
          <w:tblCellMar>
            <w:top w:w="0" w:type="dxa"/>
            <w:bottom w:w="0" w:type="dxa"/>
          </w:tblCellMar>
        </w:tblPrEx>
        <w:trPr>
          <w:tblCellSpacing w:w="60" w:type="dxa"/>
        </w:trPr>
        <w:tc>
          <w:tcPr>
            <w:tcW w:w="1200" w:type="pct"/>
            <w:shd w:val="clear" w:color="auto" w:fill="E7F0F9"/>
          </w:tcPr>
          <w:p w:rsidR="00C32F54" w:rsidRPr="0039190F" w:rsidRDefault="002C3769">
            <w:pPr>
              <w:spacing w:after="0" w:line="240" w:lineRule="auto"/>
              <w:rPr>
                <w:lang w:val="hr-HR"/>
              </w:rPr>
            </w:pPr>
            <w:r w:rsidRPr="0039190F">
              <w:rPr>
                <w:b/>
                <w:lang w:val="hr-HR"/>
              </w:rPr>
              <w:t>Razina</w:t>
            </w:r>
          </w:p>
        </w:tc>
        <w:tc>
          <w:tcPr>
            <w:tcW w:w="0" w:type="auto"/>
            <w:shd w:val="clear" w:color="auto" w:fill="E7F0F9"/>
          </w:tcPr>
          <w:p w:rsidR="00C32F54" w:rsidRPr="0039190F" w:rsidRDefault="002C3769">
            <w:pPr>
              <w:spacing w:after="0" w:line="240" w:lineRule="auto"/>
              <w:rPr>
                <w:lang w:val="hr-HR"/>
              </w:rPr>
            </w:pPr>
            <w:r w:rsidRPr="0039190F">
              <w:rPr>
                <w:lang w:val="hr-HR"/>
              </w:rPr>
              <w:t>21</w:t>
            </w:r>
          </w:p>
        </w:tc>
      </w:tr>
    </w:tbl>
    <w:p w:rsidR="00C32F54" w:rsidRPr="0039190F" w:rsidRDefault="002C3769">
      <w:pPr>
        <w:rPr>
          <w:lang w:val="hr-HR"/>
        </w:rPr>
      </w:pPr>
      <w:r w:rsidRPr="0039190F">
        <w:rPr>
          <w:lang w:val="hr-HR"/>
        </w:rPr>
        <w:br/>
      </w:r>
    </w:p>
    <w:p w:rsidR="00C32F54" w:rsidRPr="0039190F" w:rsidRDefault="002C3769">
      <w:pPr>
        <w:spacing w:line="240" w:lineRule="auto"/>
        <w:jc w:val="center"/>
        <w:rPr>
          <w:lang w:val="hr-HR"/>
        </w:rPr>
      </w:pPr>
      <w:r w:rsidRPr="0039190F">
        <w:rPr>
          <w:b/>
          <w:sz w:val="28"/>
          <w:lang w:val="hr-HR"/>
        </w:rPr>
        <w:t>BILJEŠKE UZ FINANCIJSKE IZVJEŠTAJE</w:t>
      </w:r>
    </w:p>
    <w:p w:rsidR="00C32F54" w:rsidRPr="0039190F" w:rsidRDefault="002C3769">
      <w:pPr>
        <w:spacing w:line="240" w:lineRule="auto"/>
        <w:jc w:val="center"/>
        <w:rPr>
          <w:lang w:val="hr-HR"/>
        </w:rPr>
      </w:pPr>
      <w:r w:rsidRPr="0039190F">
        <w:rPr>
          <w:b/>
          <w:sz w:val="28"/>
          <w:lang w:val="hr-HR"/>
        </w:rPr>
        <w:t>ZA RAZDOBLJE</w:t>
      </w:r>
    </w:p>
    <w:p w:rsidR="00C32F54" w:rsidRPr="0039190F" w:rsidRDefault="002C3769">
      <w:pPr>
        <w:spacing w:line="240" w:lineRule="auto"/>
        <w:jc w:val="center"/>
        <w:rPr>
          <w:lang w:val="hr-HR"/>
        </w:rPr>
      </w:pPr>
      <w:r w:rsidRPr="0039190F">
        <w:rPr>
          <w:b/>
          <w:sz w:val="28"/>
          <w:lang w:val="hr-HR"/>
        </w:rPr>
        <w:t>I - XII 2025.</w:t>
      </w:r>
    </w:p>
    <w:p w:rsidR="00C32F54" w:rsidRPr="0039190F" w:rsidRDefault="00C32F54">
      <w:pPr>
        <w:rPr>
          <w:lang w:val="hr-HR"/>
        </w:rPr>
      </w:pPr>
    </w:p>
    <w:p w:rsidR="00C32F54" w:rsidRPr="0039190F" w:rsidRDefault="002C3769">
      <w:pPr>
        <w:keepNext/>
        <w:spacing w:line="240" w:lineRule="auto"/>
        <w:jc w:val="center"/>
        <w:rPr>
          <w:lang w:val="hr-HR"/>
        </w:rPr>
      </w:pPr>
      <w:r w:rsidRPr="0039190F">
        <w:rPr>
          <w:b/>
          <w:sz w:val="28"/>
          <w:lang w:val="hr-HR"/>
        </w:rPr>
        <w:t>Izvještaj o prihodima i rashodima, primicima i izdacima</w:t>
      </w:r>
    </w:p>
    <w:p w:rsidR="00C32F54" w:rsidRPr="0039190F" w:rsidRDefault="002C3769">
      <w:pPr>
        <w:keepNext/>
        <w:spacing w:line="240" w:lineRule="auto"/>
        <w:jc w:val="center"/>
        <w:rPr>
          <w:lang w:val="hr-HR"/>
        </w:rPr>
      </w:pPr>
      <w:r w:rsidRPr="0039190F">
        <w:rPr>
          <w:sz w:val="28"/>
          <w:lang w:val="hr-HR"/>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 xml:space="preserve">Ostvareno u </w:t>
            </w:r>
            <w:r w:rsidRPr="0039190F">
              <w:rPr>
                <w:b/>
                <w:sz w:val="18"/>
                <w:lang w:val="hr-HR"/>
              </w:rPr>
              <w:t>izvještajnom razdoblju prethodne godine</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tekuće godine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PRIHODI POSLOVANJA (šifre 61+62+63+64+65+66+67+68)</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1.124.526,55</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1.518.990,34</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135,1</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3</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RASHODI POSLOVANJA (šifre 31+32+34+35+36+37+38)</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3</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1.174.201,02</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1.590.224,46</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135,4</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C32F54">
            <w:pPr>
              <w:keepNext/>
              <w:keepLines/>
              <w:spacing w:after="0" w:line="240" w:lineRule="auto"/>
              <w:rPr>
                <w:lang w:val="hr-HR"/>
              </w:rPr>
            </w:pP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b/>
                <w:sz w:val="18"/>
                <w:lang w:val="hr-HR"/>
              </w:rPr>
              <w:t>MANJAK PRIHODA POSLOVANJA (šifre Z005-6)</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b/>
                <w:sz w:val="18"/>
                <w:lang w:val="hr-HR"/>
              </w:rPr>
              <w:t>Y001</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49.674,47</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71.234,12</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143,4</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7</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Prihodi od prodaje nefinancijske imovine (šifre 71+72+73+74)</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7</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0,00</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0,00</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4</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Rashodi za nabavu nefinancijske imovine (šifre 41+42+43+44+45)</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4</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11.522,56</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1.249,46</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10,8</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C32F54">
            <w:pPr>
              <w:keepNext/>
              <w:keepLines/>
              <w:spacing w:after="0" w:line="240" w:lineRule="auto"/>
              <w:rPr>
                <w:lang w:val="hr-HR"/>
              </w:rPr>
            </w:pP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b/>
                <w:sz w:val="18"/>
                <w:lang w:val="hr-HR"/>
              </w:rPr>
              <w:t>MANJAK PRIHODA OD NEFINANCIJSKE IMOVINE (šifre 4-7)</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b/>
                <w:sz w:val="18"/>
                <w:lang w:val="hr-HR"/>
              </w:rPr>
              <w:t>Y002</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11.522,56</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1.249,46</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10,8</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8</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Primici od financijske imovine i zaduživanja (šifre 81+82+83+84+85)</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8</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0,00</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0,00</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5</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Izdaci za financijsku imovinu i otplate zajmova (šifre 51+52+53+54+55)</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5</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0,00</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0,00</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C32F54">
            <w:pPr>
              <w:keepNext/>
              <w:keepLines/>
              <w:spacing w:after="0" w:line="240" w:lineRule="auto"/>
              <w:rPr>
                <w:lang w:val="hr-HR"/>
              </w:rPr>
            </w:pP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b/>
                <w:sz w:val="18"/>
                <w:lang w:val="hr-HR"/>
              </w:rPr>
              <w:t>VIŠAK/MANJAK PRIMITAKA OD FINANCIJSKE IMOVINE I ZADUŽIVANJA (šifre 8-5, 5-8)</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b/>
                <w:sz w:val="18"/>
                <w:lang w:val="hr-HR"/>
              </w:rPr>
              <w:t>X003, Y003</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0,00</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0,00</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C32F54">
            <w:pPr>
              <w:keepNext/>
              <w:keepLines/>
              <w:spacing w:after="0" w:line="240" w:lineRule="auto"/>
              <w:rPr>
                <w:lang w:val="hr-HR"/>
              </w:rPr>
            </w:pP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b/>
                <w:sz w:val="18"/>
                <w:lang w:val="hr-HR"/>
              </w:rPr>
              <w:t>MANJAK PRIHODA I PRIMITAKA (šifre Y345-X678)</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b/>
                <w:sz w:val="18"/>
                <w:lang w:val="hr-HR"/>
              </w:rPr>
              <w:t>Y005</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61.197,03</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72.483,58</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b/>
                <w:sz w:val="18"/>
                <w:lang w:val="hr-HR"/>
              </w:rPr>
              <w:t>118,4</w:t>
            </w:r>
          </w:p>
        </w:tc>
      </w:tr>
    </w:tbl>
    <w:p w:rsidR="00C32F54" w:rsidRPr="0039190F" w:rsidRDefault="00C32F54">
      <w:pPr>
        <w:spacing w:after="0"/>
        <w:rPr>
          <w:lang w:val="hr-HR"/>
        </w:rPr>
      </w:pPr>
    </w:p>
    <w:p w:rsidR="00C32F54" w:rsidRPr="0039190F" w:rsidRDefault="002C3769">
      <w:pPr>
        <w:rPr>
          <w:lang w:val="hr-HR"/>
        </w:rPr>
      </w:pPr>
      <w:r w:rsidRPr="0039190F">
        <w:rPr>
          <w:lang w:val="hr-HR"/>
        </w:rPr>
        <w:t>Prihodi su se u 2025. godini u odnosu na isto izvještajno razdoblje 2024. godine povećali za 35%. Najveće povećanje se odnosi na povećanje Prihoda iz nadležnog proračuna jer Grad Pleternica od listopada 2023. ostvaruje pravo na sredstva iz državnog proraču</w:t>
      </w:r>
      <w:r w:rsidRPr="0039190F">
        <w:rPr>
          <w:lang w:val="hr-HR"/>
        </w:rPr>
        <w:t xml:space="preserve">na za fiskalnu </w:t>
      </w:r>
      <w:r w:rsidRPr="0039190F">
        <w:rPr>
          <w:lang w:val="hr-HR"/>
        </w:rPr>
        <w:lastRenderedPageBreak/>
        <w:t>održivost dječjih vrtića. Također prihodi su se povećali zbog rasta ekonomske cijene vrtića u listopadu 2024. godine i porasta sufinanciranja roditelja, ali i dijelom zbog otvaranja podružnice Dječjeg vrtića Tratinčica u Gradcu koja je krenu</w:t>
      </w:r>
      <w:r w:rsidRPr="0039190F">
        <w:rPr>
          <w:lang w:val="hr-HR"/>
        </w:rPr>
        <w:t>la s radom u studenome 2025. godine gdje je upisano 40 djece u 2 odgojno-obrazovne skupine. </w:t>
      </w:r>
    </w:p>
    <w:p w:rsidR="00C32F54" w:rsidRPr="0039190F" w:rsidRDefault="002C3769">
      <w:pPr>
        <w:rPr>
          <w:lang w:val="hr-HR"/>
        </w:rPr>
      </w:pPr>
      <w:r w:rsidRPr="0039190F">
        <w:rPr>
          <w:lang w:val="hr-HR"/>
        </w:rPr>
        <w:t>Ukupni rashodi u 2025. u odnosu na 2024. godinu su porasli također za 35% i to zbog porasta troškova plaća.  Rashodi za plaće su ostvareni u iznosu od 1.103.824,17</w:t>
      </w:r>
      <w:r w:rsidRPr="0039190F">
        <w:rPr>
          <w:lang w:val="hr-HR"/>
        </w:rPr>
        <w:t xml:space="preserve"> eura što je povećanje rashoda za plaće u odnosu na 2024. godinu za 48,5%. Odnosi se na povećanja osnovice za obračun plaće koja je 2024. iznosila 947,18 eura, a 2025. se dva puta povećavala – u travnju 2025. porasla je na 975,60 eura, a u rujnu 2025. na 1</w:t>
      </w:r>
      <w:r w:rsidRPr="0039190F">
        <w:rPr>
          <w:lang w:val="hr-HR"/>
        </w:rPr>
        <w:t>004,87 eura. Do povećanja troška je došlo uslijed zapošljavanja 4 odgojiteljica, 1 kuharice i 1 spremačice zbog otvaranja novog objekta dječjeg vrtića u Gradcu.</w:t>
      </w:r>
    </w:p>
    <w:p w:rsidR="00C32F54" w:rsidRPr="0039190F" w:rsidRDefault="002C3769">
      <w:pPr>
        <w:rPr>
          <w:lang w:val="hr-HR"/>
        </w:rPr>
      </w:pPr>
      <w:r w:rsidRPr="0039190F">
        <w:rPr>
          <w:lang w:val="hr-HR"/>
        </w:rPr>
        <w:t xml:space="preserve">Dječji vrtić Tratinčica na dan 31.12.2025. godine ima ukupan iznos aktive i pasive u iznosu od </w:t>
      </w:r>
      <w:r w:rsidRPr="0039190F">
        <w:rPr>
          <w:lang w:val="hr-HR"/>
        </w:rPr>
        <w:t>63.512,64 eura, što je u odnosu na isto razdoblje prošle, 2024. godine smanjenje za 43 %. Do smanjenja ukupne imovine došlo je zbog smanjenja novčanih sredstava na računu, naime prošlih godina Grad Pleternica je doznačivao dio sredstava za isplatu plaće do</w:t>
      </w:r>
      <w:r w:rsidRPr="0039190F">
        <w:rPr>
          <w:lang w:val="hr-HR"/>
        </w:rPr>
        <w:t xml:space="preserve"> 31.12. te su ta novčana sredstva bila zabilježena u bilanci na kontu 1112. Dječji vrtić Tratinčica je proračunski korisnik Grada Pleternice te smo od 1.1.2026. u sustavu pune riznice i poslujemo preko računa Grada te će se plaća za prosinac koja se isplać</w:t>
      </w:r>
      <w:r w:rsidRPr="0039190F">
        <w:rPr>
          <w:lang w:val="hr-HR"/>
        </w:rPr>
        <w:t>uje u siječnju isplaćivati sa računa Grada Pleternice.</w:t>
      </w:r>
    </w:p>
    <w:p w:rsidR="00C32F54" w:rsidRPr="0039190F" w:rsidRDefault="002C3769">
      <w:pPr>
        <w:rPr>
          <w:lang w:val="hr-HR"/>
        </w:rPr>
      </w:pPr>
      <w:r w:rsidRPr="0039190F">
        <w:rPr>
          <w:lang w:val="hr-HR"/>
        </w:rPr>
        <w:t>Manjak od 109.664,31 eura je nastao zbog manjka sredstava iz izvora 1 (sredstva iz nadležnog proračuna) za isplatu plaće za prosinac 2025. godine.</w:t>
      </w:r>
    </w:p>
    <w:p w:rsidR="00C32F54" w:rsidRPr="0039190F" w:rsidRDefault="002C3769">
      <w:pPr>
        <w:rPr>
          <w:lang w:val="hr-HR"/>
        </w:rPr>
      </w:pPr>
      <w:r w:rsidRPr="0039190F">
        <w:rPr>
          <w:lang w:val="hr-HR"/>
        </w:rPr>
        <w:t> </w:t>
      </w:r>
    </w:p>
    <w:p w:rsidR="00C32F54" w:rsidRPr="0039190F" w:rsidRDefault="002C3769">
      <w:pPr>
        <w:rPr>
          <w:lang w:val="hr-HR"/>
        </w:rPr>
      </w:pPr>
      <w:r w:rsidRPr="0039190F">
        <w:rPr>
          <w:lang w:val="hr-HR"/>
        </w:rPr>
        <w:br/>
      </w:r>
    </w:p>
    <w:p w:rsidR="00C32F54" w:rsidRPr="0039190F" w:rsidRDefault="002C3769">
      <w:pPr>
        <w:keepNext/>
        <w:spacing w:line="240" w:lineRule="auto"/>
        <w:jc w:val="center"/>
        <w:rPr>
          <w:lang w:val="hr-HR"/>
        </w:rPr>
      </w:pPr>
      <w:r w:rsidRPr="0039190F">
        <w:rPr>
          <w:sz w:val="28"/>
          <w:lang w:val="hr-HR"/>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prethodne godine</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tekuće godine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636</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Pomoći proračunskim korisnicima iz proračuna koji im nije nadležan (šifre 6361+6362)</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636</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3.821,20</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5.177,50</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135,5</w:t>
            </w:r>
          </w:p>
        </w:tc>
      </w:tr>
    </w:tbl>
    <w:p w:rsidR="00C32F54" w:rsidRPr="0039190F" w:rsidRDefault="00C32F54">
      <w:pPr>
        <w:spacing w:after="0"/>
        <w:rPr>
          <w:lang w:val="hr-HR"/>
        </w:rPr>
      </w:pPr>
    </w:p>
    <w:p w:rsidR="00C32F54" w:rsidRPr="0039190F" w:rsidRDefault="002C3769">
      <w:pPr>
        <w:rPr>
          <w:lang w:val="hr-HR"/>
        </w:rPr>
      </w:pPr>
      <w:r w:rsidRPr="0039190F">
        <w:rPr>
          <w:lang w:val="hr-HR"/>
        </w:rPr>
        <w:t>Na kontu 636 redovno se evidentira prihod Ministarstva znanosti i obrazovanja za rad predškole te prihod Požeško slavonske županije također za rad predškole. Povećanje prihoda za 35,5% je zbog većeg broja djece.</w:t>
      </w:r>
    </w:p>
    <w:p w:rsidR="00C32F54" w:rsidRPr="0039190F" w:rsidRDefault="00C32F54">
      <w:pPr>
        <w:rPr>
          <w:lang w:val="hr-HR"/>
        </w:rPr>
      </w:pPr>
    </w:p>
    <w:p w:rsidR="00C32F54" w:rsidRPr="0039190F" w:rsidRDefault="002C3769">
      <w:pPr>
        <w:keepNext/>
        <w:spacing w:line="240" w:lineRule="auto"/>
        <w:jc w:val="center"/>
        <w:rPr>
          <w:lang w:val="hr-HR"/>
        </w:rPr>
      </w:pPr>
      <w:r w:rsidRPr="0039190F">
        <w:rPr>
          <w:sz w:val="28"/>
          <w:lang w:val="hr-HR"/>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prethodne godine</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tekuće godine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652</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Prihodi po posebnim propisima (šifre 6521 do 6528)</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652</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302.587,15</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433.000,00</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143,1</w:t>
            </w:r>
          </w:p>
        </w:tc>
      </w:tr>
    </w:tbl>
    <w:p w:rsidR="00C32F54" w:rsidRPr="0039190F" w:rsidRDefault="00C32F54">
      <w:pPr>
        <w:spacing w:after="0"/>
        <w:rPr>
          <w:lang w:val="hr-HR"/>
        </w:rPr>
      </w:pPr>
    </w:p>
    <w:p w:rsidR="00C32F54" w:rsidRPr="0039190F" w:rsidRDefault="002C3769">
      <w:pPr>
        <w:rPr>
          <w:lang w:val="hr-HR"/>
        </w:rPr>
      </w:pPr>
      <w:r w:rsidRPr="0039190F">
        <w:rPr>
          <w:lang w:val="hr-HR"/>
        </w:rPr>
        <w:t>Prihodi po posebnim propisima u 2024. su ostvareni u iznosu od 433.000,00 eura i bilježe povećanje od 43 % u odnosu na proteklu godinu. Prihod se odnosi na sufinanciranje roditelja za boravak djece u vrtiću. Povećanje je najvećim dijelom nastalo zbog poras</w:t>
      </w:r>
      <w:r w:rsidRPr="0039190F">
        <w:rPr>
          <w:lang w:val="hr-HR"/>
        </w:rPr>
        <w:t>ta ekonomske cijene vrtića od listopada 2024. sa 225,00 eura na 420,00 eura, odnosno porast sufinanciranja roditelja sa 90,00 eura na 120,00 eura za prvo dijete, sa 45,00 na 80,00 eura za drugo dijete i sa 0,00 na 60,00 eura također je rezultiralo porastom</w:t>
      </w:r>
      <w:r w:rsidRPr="0039190F">
        <w:rPr>
          <w:lang w:val="hr-HR"/>
        </w:rPr>
        <w:t xml:space="preserve"> prihoda. Također prihod je porastao i zbog otvaranja podružnice Dječjeg vrtića Tratinčica u Gradcu gdje je od studenoga 2025. upisano 40 nove djece.</w:t>
      </w:r>
    </w:p>
    <w:p w:rsidR="00C32F54" w:rsidRPr="0039190F" w:rsidRDefault="00C32F54">
      <w:pPr>
        <w:rPr>
          <w:lang w:val="hr-HR"/>
        </w:rPr>
      </w:pPr>
    </w:p>
    <w:p w:rsidR="00C32F54" w:rsidRPr="0039190F" w:rsidRDefault="002C3769">
      <w:pPr>
        <w:keepNext/>
        <w:spacing w:line="240" w:lineRule="auto"/>
        <w:jc w:val="center"/>
        <w:rPr>
          <w:lang w:val="hr-HR"/>
        </w:rPr>
      </w:pPr>
      <w:r w:rsidRPr="0039190F">
        <w:rPr>
          <w:sz w:val="28"/>
          <w:lang w:val="hr-HR"/>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prethodne godine</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w:t>
            </w:r>
            <w:r w:rsidRPr="0039190F">
              <w:rPr>
                <w:b/>
                <w:sz w:val="18"/>
                <w:lang w:val="hr-HR"/>
              </w:rPr>
              <w:t>vareno u izvještajnom razdoblju tekuće godine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661</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Prihodi od prodaje proizvoda i robe te pruženih usluga (šifre 6614+6615)</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661</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4.240,00</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3.360,00</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79,2</w:t>
            </w:r>
          </w:p>
        </w:tc>
      </w:tr>
    </w:tbl>
    <w:p w:rsidR="00C32F54" w:rsidRPr="0039190F" w:rsidRDefault="00C32F54">
      <w:pPr>
        <w:spacing w:after="0"/>
        <w:rPr>
          <w:lang w:val="hr-HR"/>
        </w:rPr>
      </w:pPr>
    </w:p>
    <w:p w:rsidR="00C32F54" w:rsidRPr="0039190F" w:rsidRDefault="002C3769">
      <w:pPr>
        <w:rPr>
          <w:lang w:val="hr-HR"/>
        </w:rPr>
      </w:pPr>
      <w:r w:rsidRPr="0039190F">
        <w:rPr>
          <w:lang w:val="hr-HR"/>
        </w:rPr>
        <w:t>Prihodi se odnose na provedbu Posebnog kraćeg sportskog programa za djecu od 3 godine do polaska u školu. Program je verificiran od strane Ministarstva znanosti i obrazovanja te Agencije za odgoj i obrazovanje, a krenuo je s provedbom od rujna 2022. godine</w:t>
      </w:r>
      <w:r w:rsidRPr="0039190F">
        <w:rPr>
          <w:lang w:val="hr-HR"/>
        </w:rPr>
        <w:t>. Zabilježen je manji pad prihoda od 20,8% u odnosu na prethodnu 2024. godinu, cijena programa se nije mijenjala.</w:t>
      </w:r>
    </w:p>
    <w:p w:rsidR="00C32F54" w:rsidRPr="0039190F" w:rsidRDefault="002C3769">
      <w:pPr>
        <w:rPr>
          <w:lang w:val="hr-HR"/>
        </w:rPr>
      </w:pPr>
      <w:r w:rsidRPr="0039190F">
        <w:rPr>
          <w:lang w:val="hr-HR"/>
        </w:rPr>
        <w:t> </w:t>
      </w:r>
    </w:p>
    <w:p w:rsidR="00C32F54" w:rsidRPr="0039190F" w:rsidRDefault="00C32F54">
      <w:pPr>
        <w:rPr>
          <w:lang w:val="hr-HR"/>
        </w:rPr>
      </w:pPr>
    </w:p>
    <w:p w:rsidR="00C32F54" w:rsidRPr="0039190F" w:rsidRDefault="002C3769">
      <w:pPr>
        <w:keepNext/>
        <w:spacing w:line="240" w:lineRule="auto"/>
        <w:jc w:val="center"/>
        <w:rPr>
          <w:lang w:val="hr-HR"/>
        </w:rPr>
      </w:pPr>
      <w:r w:rsidRPr="0039190F">
        <w:rPr>
          <w:sz w:val="28"/>
          <w:lang w:val="hr-HR"/>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prethodne godine</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te</w:t>
            </w:r>
            <w:r w:rsidRPr="0039190F">
              <w:rPr>
                <w:b/>
                <w:sz w:val="18"/>
                <w:lang w:val="hr-HR"/>
              </w:rPr>
              <w:t>kuće godine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663</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663</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0,00</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5.000,00</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w:t>
            </w:r>
          </w:p>
        </w:tc>
      </w:tr>
    </w:tbl>
    <w:p w:rsidR="00C32F54" w:rsidRPr="0039190F" w:rsidRDefault="00C32F54">
      <w:pPr>
        <w:spacing w:after="0"/>
        <w:rPr>
          <w:lang w:val="hr-HR"/>
        </w:rPr>
      </w:pPr>
    </w:p>
    <w:p w:rsidR="00C32F54" w:rsidRPr="0039190F" w:rsidRDefault="002C3769">
      <w:pPr>
        <w:rPr>
          <w:lang w:val="hr-HR"/>
        </w:rPr>
      </w:pPr>
      <w:r w:rsidRPr="0039190F">
        <w:rPr>
          <w:lang w:val="hr-HR"/>
        </w:rPr>
        <w:t>U 2025. godine ostvarena je donacija od Zaklade Adris u iznosu od 5.000,00 eura za projekt „EKO park“, a projekt će se provoditi tijekom 2026. godine.</w:t>
      </w:r>
    </w:p>
    <w:p w:rsidR="00C32F54" w:rsidRPr="0039190F" w:rsidRDefault="002C3769">
      <w:pPr>
        <w:rPr>
          <w:lang w:val="hr-HR"/>
        </w:rPr>
      </w:pPr>
      <w:r w:rsidRPr="0039190F">
        <w:rPr>
          <w:lang w:val="hr-HR"/>
        </w:rPr>
        <w:t> </w:t>
      </w:r>
    </w:p>
    <w:p w:rsidR="00C32F54" w:rsidRPr="0039190F" w:rsidRDefault="00C32F54">
      <w:pPr>
        <w:rPr>
          <w:lang w:val="hr-HR"/>
        </w:rPr>
      </w:pPr>
    </w:p>
    <w:p w:rsidR="00C32F54" w:rsidRPr="0039190F" w:rsidRDefault="002C3769">
      <w:pPr>
        <w:keepNext/>
        <w:spacing w:line="240" w:lineRule="auto"/>
        <w:jc w:val="center"/>
        <w:rPr>
          <w:lang w:val="hr-HR"/>
        </w:rPr>
      </w:pPr>
      <w:r w:rsidRPr="0039190F">
        <w:rPr>
          <w:sz w:val="28"/>
          <w:lang w:val="hr-HR"/>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prethodne godine</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tekuće godine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671</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Prihodi iz nadležnog proračuna za financiranje redovne djelatnosti proračunskih korisnika (šifre 6711 do 6714)</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671</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809.169,19</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1.071.700,68</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132,4</w:t>
            </w:r>
          </w:p>
        </w:tc>
      </w:tr>
    </w:tbl>
    <w:p w:rsidR="00C32F54" w:rsidRPr="0039190F" w:rsidRDefault="00C32F54">
      <w:pPr>
        <w:spacing w:after="0"/>
        <w:rPr>
          <w:lang w:val="hr-HR"/>
        </w:rPr>
      </w:pPr>
    </w:p>
    <w:p w:rsidR="00C32F54" w:rsidRPr="0039190F" w:rsidRDefault="002C3769">
      <w:pPr>
        <w:rPr>
          <w:lang w:val="hr-HR"/>
        </w:rPr>
      </w:pPr>
      <w:r w:rsidRPr="0039190F">
        <w:rPr>
          <w:lang w:val="hr-HR"/>
        </w:rPr>
        <w:t>Prihod iz nadležnog proračuna je ostvaren u iznosu od 1.071.700,68 eura što je za 32,4 % više nego prethodne 2024. godine. Od listopada 2023. godine Grad Pleternica ostvaruje pravo na sredstva iz državnog proračuna za fiskalnu održivost dječjih vrtića, a t</w:t>
      </w:r>
      <w:r w:rsidRPr="0039190F">
        <w:rPr>
          <w:lang w:val="hr-HR"/>
        </w:rPr>
        <w:t>ijekom 2024.i 2025. sredstva su se povećala zbog većeg broja upisane djece. Grad Pleternica na zahtjev DV Tratinčica prenosi sredstva na račun Dječjeg vrtića, a sredstva za fiskalnu održivost (izvor 5.1.3 ) se koriste za plaće djelatnika te za troškove mat</w:t>
      </w:r>
      <w:r w:rsidRPr="0039190F">
        <w:rPr>
          <w:lang w:val="hr-HR"/>
        </w:rPr>
        <w:t>erijala i energije. Prihodom iz nadležnog proračuna, iz izvora 1.1.1 financira se osim plaća za redovni rad i sveukupni troškovi obaveznog program predškole za svu djecu koja nisu upisana u redovni program dječjeg vrtića. Povećanje prihoda u odnosu na 2024</w:t>
      </w:r>
      <w:r w:rsidRPr="0039190F">
        <w:rPr>
          <w:lang w:val="hr-HR"/>
        </w:rPr>
        <w:t>. godinu rezultiralo je zbog povećanja broja zaposlenih, ali i porasta plaća. </w:t>
      </w:r>
    </w:p>
    <w:p w:rsidR="00C32F54" w:rsidRPr="0039190F" w:rsidRDefault="00C32F54">
      <w:pPr>
        <w:rPr>
          <w:lang w:val="hr-HR"/>
        </w:rPr>
      </w:pPr>
    </w:p>
    <w:p w:rsidR="00C32F54" w:rsidRPr="0039190F" w:rsidRDefault="002C3769">
      <w:pPr>
        <w:keepNext/>
        <w:spacing w:line="240" w:lineRule="auto"/>
        <w:jc w:val="center"/>
        <w:rPr>
          <w:lang w:val="hr-HR"/>
        </w:rPr>
      </w:pPr>
      <w:r w:rsidRPr="0039190F">
        <w:rPr>
          <w:sz w:val="28"/>
          <w:lang w:val="hr-HR"/>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prethodne godine</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tekuće godine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311</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 xml:space="preserve">Plaće </w:t>
            </w:r>
            <w:r w:rsidRPr="0039190F">
              <w:rPr>
                <w:sz w:val="18"/>
                <w:lang w:val="hr-HR"/>
              </w:rPr>
              <w:t>(bruto) (šifre 3111 do 3114)</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311</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743.474,04</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1.103.824,17</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148,5</w:t>
            </w:r>
          </w:p>
        </w:tc>
      </w:tr>
    </w:tbl>
    <w:p w:rsidR="00C32F54" w:rsidRPr="0039190F" w:rsidRDefault="00C32F54">
      <w:pPr>
        <w:spacing w:after="0"/>
        <w:rPr>
          <w:lang w:val="hr-HR"/>
        </w:rPr>
      </w:pPr>
    </w:p>
    <w:p w:rsidR="00C32F54" w:rsidRPr="0039190F" w:rsidRDefault="002C3769">
      <w:pPr>
        <w:rPr>
          <w:lang w:val="hr-HR"/>
        </w:rPr>
      </w:pPr>
      <w:r w:rsidRPr="0039190F">
        <w:rPr>
          <w:lang w:val="hr-HR"/>
        </w:rPr>
        <w:t>Rashodi za plaće su ostvareni u iznosu od 1.103.824,17 eura što je povećanje rashoda za plaće u odnosu na 2024. godinu za 48,5%. Odnosi se na povećanja osnovice za obračun plaće koja je 2024. iznosila 947,18 eura, a 2025. se dva puta povećavala – u travnju</w:t>
      </w:r>
      <w:r w:rsidRPr="0039190F">
        <w:rPr>
          <w:lang w:val="hr-HR"/>
        </w:rPr>
        <w:t xml:space="preserve"> 2025. porasla je na 975,60 eura, a u rujnu 2025. na 1004,87 eura. Do povećanja troška je došlo uslijed zapošljavanja 4 odgojiteljica, 1 kuharice i 1 spremačice zbog otvaranja novog objekta dječjeg vrtića u Gradcu.</w:t>
      </w:r>
    </w:p>
    <w:p w:rsidR="00C32F54" w:rsidRPr="0039190F" w:rsidRDefault="002C3769">
      <w:pPr>
        <w:rPr>
          <w:lang w:val="hr-HR"/>
        </w:rPr>
      </w:pPr>
      <w:r w:rsidRPr="0039190F">
        <w:rPr>
          <w:lang w:val="hr-HR"/>
        </w:rPr>
        <w:t> </w:t>
      </w:r>
    </w:p>
    <w:p w:rsidR="00C32F54" w:rsidRPr="0039190F" w:rsidRDefault="00C32F54">
      <w:pPr>
        <w:rPr>
          <w:lang w:val="hr-HR"/>
        </w:rPr>
      </w:pPr>
    </w:p>
    <w:p w:rsidR="00C32F54" w:rsidRPr="0039190F" w:rsidRDefault="002C3769">
      <w:pPr>
        <w:keepNext/>
        <w:spacing w:line="240" w:lineRule="auto"/>
        <w:jc w:val="center"/>
        <w:rPr>
          <w:lang w:val="hr-HR"/>
        </w:rPr>
      </w:pPr>
      <w:r w:rsidRPr="0039190F">
        <w:rPr>
          <w:sz w:val="28"/>
          <w:lang w:val="hr-HR"/>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w:t>
            </w:r>
            <w:r w:rsidRPr="0039190F">
              <w:rPr>
                <w:b/>
                <w:sz w:val="18"/>
                <w:lang w:val="hr-HR"/>
              </w:rPr>
              <w:t>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prethodne godine</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Ostvareno u izvještajnom razdoblju tekuće godine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C32F54">
            <w:pPr>
              <w:keepNext/>
              <w:keepLines/>
              <w:spacing w:after="0" w:line="240" w:lineRule="auto"/>
              <w:rPr>
                <w:lang w:val="hr-HR"/>
              </w:rPr>
            </w:pP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Manjak prihoda i primitaka za pokriće u sljedećem razdoblju (šifre Y005 + '9222-9221' - X005 - '9221-9222' )</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Y006</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37.180,73</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109.664,31</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294,9</w:t>
            </w:r>
          </w:p>
        </w:tc>
      </w:tr>
    </w:tbl>
    <w:p w:rsidR="00C32F54" w:rsidRPr="0039190F" w:rsidRDefault="00C32F54">
      <w:pPr>
        <w:spacing w:after="0"/>
        <w:rPr>
          <w:lang w:val="hr-HR"/>
        </w:rPr>
      </w:pPr>
    </w:p>
    <w:p w:rsidR="00C32F54" w:rsidRPr="0039190F" w:rsidRDefault="002C3769">
      <w:pPr>
        <w:rPr>
          <w:lang w:val="hr-HR"/>
        </w:rPr>
      </w:pPr>
      <w:r w:rsidRPr="0039190F">
        <w:rPr>
          <w:lang w:val="hr-HR"/>
        </w:rPr>
        <w:lastRenderedPageBreak/>
        <w:t>Manjak od 109.664,31 eura je nastao zbog manjka sredstava iz izvora 1 (sredstva iz nadležnog proračuna) za isplatu plaće za prosinac 2025. godine.</w:t>
      </w:r>
    </w:p>
    <w:p w:rsidR="00C32F54" w:rsidRPr="0039190F" w:rsidRDefault="00C32F54">
      <w:pPr>
        <w:rPr>
          <w:lang w:val="hr-HR"/>
        </w:rPr>
      </w:pPr>
    </w:p>
    <w:p w:rsidR="00C32F54" w:rsidRPr="0039190F" w:rsidRDefault="002C3769">
      <w:pPr>
        <w:keepNext/>
        <w:spacing w:line="240" w:lineRule="auto"/>
        <w:jc w:val="center"/>
        <w:rPr>
          <w:lang w:val="hr-HR"/>
        </w:rPr>
      </w:pPr>
      <w:r w:rsidRPr="0039190F">
        <w:rPr>
          <w:b/>
          <w:sz w:val="28"/>
          <w:lang w:val="hr-HR"/>
        </w:rPr>
        <w:t>Bilanca</w:t>
      </w:r>
    </w:p>
    <w:p w:rsidR="00C32F54" w:rsidRPr="0039190F" w:rsidRDefault="002C3769">
      <w:pPr>
        <w:keepNext/>
        <w:spacing w:line="240" w:lineRule="auto"/>
        <w:jc w:val="center"/>
        <w:rPr>
          <w:lang w:val="hr-HR"/>
        </w:rPr>
      </w:pPr>
      <w:r w:rsidRPr="0039190F">
        <w:rPr>
          <w:sz w:val="28"/>
          <w:lang w:val="hr-HR"/>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Stanje 1. siječnja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 xml:space="preserve">Stanje 31. </w:t>
            </w:r>
            <w:r w:rsidRPr="0039190F">
              <w:rPr>
                <w:b/>
                <w:sz w:val="18"/>
                <w:lang w:val="hr-HR"/>
              </w:rPr>
              <w:t>prosinca</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1</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Financijska imovina (šifre 11+12+13+14+15+16+17+19)</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1</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94.875,39</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50.819,22</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53,6</w:t>
            </w:r>
          </w:p>
        </w:tc>
      </w:tr>
    </w:tbl>
    <w:p w:rsidR="00C32F54" w:rsidRPr="0039190F" w:rsidRDefault="00C32F54">
      <w:pPr>
        <w:spacing w:after="0"/>
        <w:rPr>
          <w:lang w:val="hr-HR"/>
        </w:rPr>
      </w:pPr>
    </w:p>
    <w:p w:rsidR="00C32F54" w:rsidRPr="0039190F" w:rsidRDefault="002C3769">
      <w:pPr>
        <w:rPr>
          <w:lang w:val="hr-HR"/>
        </w:rPr>
      </w:pPr>
      <w:r w:rsidRPr="0039190F">
        <w:rPr>
          <w:lang w:val="hr-HR"/>
        </w:rPr>
        <w:t>Financijska imovina bilježi pad za 46,4 % zbog smanjenja novca na žiroračunu budući da sredstva za isplatu plaće za prosinac koja se isplaćuje u siječnju nisu prebačena sa Gradskog računa na račun Vrtića jer je zbog prelaska u punu riznicu Vrtić zatvorio b</w:t>
      </w:r>
      <w:r w:rsidRPr="0039190F">
        <w:rPr>
          <w:lang w:val="hr-HR"/>
        </w:rPr>
        <w:t>ankovni račun sa 31.12. S druge strane potraživanja za prihode poslovanja su se povećala za 25 %.</w:t>
      </w:r>
    </w:p>
    <w:p w:rsidR="00C32F54" w:rsidRPr="0039190F" w:rsidRDefault="00C32F54">
      <w:pPr>
        <w:rPr>
          <w:lang w:val="hr-HR"/>
        </w:rPr>
      </w:pPr>
    </w:p>
    <w:p w:rsidR="00C32F54" w:rsidRPr="0039190F" w:rsidRDefault="002C3769">
      <w:pPr>
        <w:keepNext/>
        <w:spacing w:line="240" w:lineRule="auto"/>
        <w:jc w:val="center"/>
        <w:rPr>
          <w:lang w:val="hr-HR"/>
        </w:rPr>
      </w:pPr>
      <w:r w:rsidRPr="0039190F">
        <w:rPr>
          <w:sz w:val="28"/>
          <w:lang w:val="hr-HR"/>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Stanje 1. siječnja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Stanje 31. prosinca</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2</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Obveze (šifre 23+24+25+26+27+29)</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2</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92.519,22</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122.066,63</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131,9</w:t>
            </w:r>
          </w:p>
        </w:tc>
      </w:tr>
    </w:tbl>
    <w:p w:rsidR="00C32F54" w:rsidRPr="0039190F" w:rsidRDefault="00C32F54">
      <w:pPr>
        <w:spacing w:after="0"/>
        <w:rPr>
          <w:lang w:val="hr-HR"/>
        </w:rPr>
      </w:pPr>
    </w:p>
    <w:p w:rsidR="00C32F54" w:rsidRPr="0039190F" w:rsidRDefault="002C3769">
      <w:pPr>
        <w:rPr>
          <w:lang w:val="hr-HR"/>
        </w:rPr>
      </w:pPr>
      <w:r w:rsidRPr="0039190F">
        <w:rPr>
          <w:lang w:val="hr-HR"/>
        </w:rPr>
        <w:t>Sveukupne Obveze su se povećale za 32% zbog porasta Obveza za zaposlene za gotovo 41.600 eura (54,6%). Uslijed intenzivnog rasta plaća, ali i otvaranja novoga područnog objekta u Gradcu krajem 2025. došlo je do porasta plaća.</w:t>
      </w:r>
    </w:p>
    <w:p w:rsidR="00C32F54" w:rsidRPr="0039190F" w:rsidRDefault="002C3769">
      <w:pPr>
        <w:rPr>
          <w:lang w:val="hr-HR"/>
        </w:rPr>
      </w:pPr>
      <w:r w:rsidRPr="0039190F">
        <w:rPr>
          <w:lang w:val="hr-HR"/>
        </w:rPr>
        <w:t> </w:t>
      </w:r>
    </w:p>
    <w:p w:rsidR="00C32F54" w:rsidRPr="0039190F" w:rsidRDefault="00C32F54">
      <w:pPr>
        <w:rPr>
          <w:lang w:val="hr-HR"/>
        </w:rPr>
      </w:pPr>
    </w:p>
    <w:p w:rsidR="00C32F54" w:rsidRPr="0039190F" w:rsidRDefault="002C3769">
      <w:pPr>
        <w:keepNext/>
        <w:spacing w:line="240" w:lineRule="auto"/>
        <w:jc w:val="center"/>
        <w:rPr>
          <w:lang w:val="hr-HR"/>
        </w:rPr>
      </w:pPr>
      <w:r w:rsidRPr="0039190F">
        <w:rPr>
          <w:sz w:val="28"/>
          <w:lang w:val="hr-HR"/>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Stanje 1. siječnja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Stanje 31. prosinca</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9222</w:t>
            </w: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Manjak prihoda i primitaka (šifre 92221 do 92223)</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9222</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37.180,73</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109.664,31</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294,9</w:t>
            </w:r>
          </w:p>
        </w:tc>
      </w:tr>
    </w:tbl>
    <w:p w:rsidR="00C32F54" w:rsidRPr="0039190F" w:rsidRDefault="00C32F54">
      <w:pPr>
        <w:spacing w:after="0"/>
        <w:rPr>
          <w:lang w:val="hr-HR"/>
        </w:rPr>
      </w:pPr>
    </w:p>
    <w:p w:rsidR="00C32F54" w:rsidRPr="0039190F" w:rsidRDefault="002C3769">
      <w:pPr>
        <w:rPr>
          <w:lang w:val="hr-HR"/>
        </w:rPr>
      </w:pPr>
      <w:r w:rsidRPr="0039190F">
        <w:rPr>
          <w:lang w:val="hr-HR"/>
        </w:rPr>
        <w:t>Manjak od 109.664,31 eura je nastao zbog manjka sredstava iz izvora 1 (sredstva iz nadležnog proračuna) za isplatu plaće za prosinac 2025. godine.</w:t>
      </w:r>
    </w:p>
    <w:p w:rsidR="00C32F54" w:rsidRPr="0039190F" w:rsidRDefault="00C32F54">
      <w:pPr>
        <w:rPr>
          <w:lang w:val="hr-HR"/>
        </w:rPr>
      </w:pPr>
    </w:p>
    <w:p w:rsidR="00C32F54" w:rsidRPr="0039190F" w:rsidRDefault="002C3769">
      <w:pPr>
        <w:keepNext/>
        <w:spacing w:line="240" w:lineRule="auto"/>
        <w:jc w:val="center"/>
        <w:rPr>
          <w:lang w:val="hr-HR"/>
        </w:rPr>
      </w:pPr>
      <w:r w:rsidRPr="0039190F">
        <w:rPr>
          <w:b/>
          <w:sz w:val="28"/>
          <w:lang w:val="hr-HR"/>
        </w:rPr>
        <w:lastRenderedPageBreak/>
        <w:t>Izvještaj o obvezama</w:t>
      </w:r>
    </w:p>
    <w:p w:rsidR="00C32F54" w:rsidRPr="0039190F" w:rsidRDefault="002C3769">
      <w:pPr>
        <w:keepNext/>
        <w:spacing w:line="240" w:lineRule="auto"/>
        <w:jc w:val="center"/>
        <w:rPr>
          <w:lang w:val="hr-HR"/>
        </w:rPr>
      </w:pPr>
      <w:r w:rsidRPr="0039190F">
        <w:rPr>
          <w:sz w:val="28"/>
          <w:lang w:val="hr-HR"/>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C32F54" w:rsidRPr="0039190F">
        <w:tblPrEx>
          <w:tblCellMar>
            <w:top w:w="0" w:type="dxa"/>
            <w:bottom w:w="0" w:type="dxa"/>
          </w:tblCellMar>
        </w:tblPrEx>
        <w:trPr>
          <w:cantSplit/>
        </w:trPr>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Račun iz rač. plana</w:t>
            </w:r>
          </w:p>
        </w:tc>
        <w:tc>
          <w:tcPr>
            <w:tcW w:w="318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Opis stavke</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Šifra</w:t>
            </w:r>
          </w:p>
        </w:tc>
        <w:tc>
          <w:tcPr>
            <w:tcW w:w="186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Iznos</w:t>
            </w:r>
          </w:p>
        </w:tc>
        <w:tc>
          <w:tcPr>
            <w:tcW w:w="700" w:type="dxa"/>
            <w:shd w:val="clear" w:color="auto" w:fill="E7F0F9"/>
            <w:tcMar>
              <w:top w:w="0" w:type="dxa"/>
              <w:bottom w:w="0" w:type="dxa"/>
            </w:tcMar>
            <w:vAlign w:val="center"/>
          </w:tcPr>
          <w:p w:rsidR="00C32F54" w:rsidRPr="0039190F" w:rsidRDefault="002C3769">
            <w:pPr>
              <w:keepNext/>
              <w:keepLines/>
              <w:spacing w:after="0" w:line="240" w:lineRule="auto"/>
              <w:jc w:val="center"/>
              <w:rPr>
                <w:lang w:val="hr-HR"/>
              </w:rPr>
            </w:pPr>
            <w:r w:rsidRPr="0039190F">
              <w:rPr>
                <w:b/>
                <w:sz w:val="18"/>
                <w:lang w:val="hr-HR"/>
              </w:rPr>
              <w:t>Indeks (%)</w:t>
            </w:r>
          </w:p>
        </w:tc>
      </w:tr>
      <w:tr w:rsidR="00C32F54" w:rsidRPr="0039190F">
        <w:tblPrEx>
          <w:tblCellMar>
            <w:top w:w="0" w:type="dxa"/>
            <w:bottom w:w="0" w:type="dxa"/>
          </w:tblCellMar>
        </w:tblPrEx>
        <w:trPr>
          <w:cantSplit/>
          <w:trHeight w:val="560"/>
        </w:trPr>
        <w:tc>
          <w:tcPr>
            <w:tcW w:w="700" w:type="dxa"/>
            <w:tcMar>
              <w:top w:w="0" w:type="dxa"/>
              <w:bottom w:w="0" w:type="dxa"/>
            </w:tcMar>
            <w:vAlign w:val="center"/>
          </w:tcPr>
          <w:p w:rsidR="00C32F54" w:rsidRPr="0039190F" w:rsidRDefault="00C32F54">
            <w:pPr>
              <w:keepNext/>
              <w:keepLines/>
              <w:spacing w:after="0" w:line="240" w:lineRule="auto"/>
              <w:rPr>
                <w:lang w:val="hr-HR"/>
              </w:rPr>
            </w:pPr>
          </w:p>
        </w:tc>
        <w:tc>
          <w:tcPr>
            <w:tcW w:w="318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 xml:space="preserve">Stanje dospjelih </w:t>
            </w:r>
            <w:r w:rsidRPr="0039190F">
              <w:rPr>
                <w:sz w:val="18"/>
                <w:lang w:val="hr-HR"/>
              </w:rPr>
              <w:t>obveza na kraju izvještajnog razdoblja (šifre V008+D23+D24 + 'D dio 25,26' + D27)</w:t>
            </w:r>
          </w:p>
        </w:tc>
        <w:tc>
          <w:tcPr>
            <w:tcW w:w="700" w:type="dxa"/>
            <w:tcMar>
              <w:top w:w="0" w:type="dxa"/>
              <w:bottom w:w="0" w:type="dxa"/>
            </w:tcMar>
            <w:vAlign w:val="center"/>
          </w:tcPr>
          <w:p w:rsidR="00C32F54" w:rsidRPr="0039190F" w:rsidRDefault="002C3769">
            <w:pPr>
              <w:keepNext/>
              <w:keepLines/>
              <w:spacing w:after="0" w:line="240" w:lineRule="auto"/>
              <w:rPr>
                <w:lang w:val="hr-HR"/>
              </w:rPr>
            </w:pPr>
            <w:r w:rsidRPr="0039190F">
              <w:rPr>
                <w:sz w:val="18"/>
                <w:lang w:val="hr-HR"/>
              </w:rPr>
              <w:t>V007</w:t>
            </w:r>
          </w:p>
        </w:tc>
        <w:tc>
          <w:tcPr>
            <w:tcW w:w="186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0,01</w:t>
            </w:r>
          </w:p>
        </w:tc>
        <w:tc>
          <w:tcPr>
            <w:tcW w:w="700" w:type="dxa"/>
            <w:tcMar>
              <w:top w:w="0" w:type="dxa"/>
              <w:bottom w:w="0" w:type="dxa"/>
            </w:tcMar>
            <w:vAlign w:val="center"/>
          </w:tcPr>
          <w:p w:rsidR="00C32F54" w:rsidRPr="0039190F" w:rsidRDefault="002C3769">
            <w:pPr>
              <w:keepNext/>
              <w:keepLines/>
              <w:spacing w:after="0" w:line="240" w:lineRule="auto"/>
              <w:jc w:val="right"/>
              <w:rPr>
                <w:lang w:val="hr-HR"/>
              </w:rPr>
            </w:pPr>
            <w:r w:rsidRPr="0039190F">
              <w:rPr>
                <w:sz w:val="18"/>
                <w:lang w:val="hr-HR"/>
              </w:rPr>
              <w:t>-</w:t>
            </w:r>
          </w:p>
        </w:tc>
      </w:tr>
    </w:tbl>
    <w:p w:rsidR="00C32F54" w:rsidRPr="0039190F" w:rsidRDefault="00C32F54">
      <w:pPr>
        <w:spacing w:after="0"/>
        <w:rPr>
          <w:lang w:val="hr-HR"/>
        </w:rPr>
      </w:pPr>
    </w:p>
    <w:p w:rsidR="00C32F54" w:rsidRPr="0039190F" w:rsidRDefault="002C3769">
      <w:pPr>
        <w:rPr>
          <w:lang w:val="hr-HR"/>
        </w:rPr>
      </w:pPr>
      <w:r w:rsidRPr="0039190F">
        <w:rPr>
          <w:lang w:val="hr-HR"/>
        </w:rPr>
        <w:t xml:space="preserve">iskazana dospjela obveza u iznosu 0,01 eur predstavlja tehnički saldo proizašao iz </w:t>
      </w:r>
      <w:r w:rsidRPr="0039190F">
        <w:rPr>
          <w:lang w:val="hr-HR"/>
        </w:rPr>
        <w:t>zaokruživanja prilikom plaćanja</w:t>
      </w:r>
    </w:p>
    <w:p w:rsidR="00C32F54" w:rsidRPr="0039190F" w:rsidRDefault="00C32F54">
      <w:pPr>
        <w:rPr>
          <w:lang w:val="hr-HR"/>
        </w:rPr>
      </w:pPr>
      <w:bookmarkStart w:id="0" w:name="_GoBack"/>
      <w:bookmarkEnd w:id="0"/>
    </w:p>
    <w:sectPr w:rsidR="00C32F54" w:rsidRPr="00391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54"/>
    <w:rsid w:val="002C3769"/>
    <w:rsid w:val="0039190F"/>
    <w:rsid w:val="00C3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A3FB"/>
  <w15:docId w15:val="{EE476479-BF54-4AFF-A03E-2AF6441D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C376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3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1444</Words>
  <Characters>8233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Racunovodstvo</dc:creator>
  <cp:lastModifiedBy>Racunovodstvo</cp:lastModifiedBy>
  <cp:revision>3</cp:revision>
  <cp:lastPrinted>2026-02-12T13:10:00Z</cp:lastPrinted>
  <dcterms:created xsi:type="dcterms:W3CDTF">2026-02-12T13:09:00Z</dcterms:created>
  <dcterms:modified xsi:type="dcterms:W3CDTF">2026-02-12T13:10:00Z</dcterms:modified>
</cp:coreProperties>
</file>